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113"/>
        <w:jc w:val="left"/>
        <w:rPr/>
      </w:pPr>
      <w:r>
        <w:rPr/>
        <w:t>Lärmprotokoll</w:t>
      </w:r>
    </w:p>
    <w:p>
      <w:pPr>
        <w:pStyle w:val="BodyTextsub"/>
        <w:bidi w:val="0"/>
        <w:jc w:val="left"/>
        <w:rPr/>
      </w:pPr>
      <w:r>
        <w:rPr/>
        <w:t>Fortlaufende Aufzeichnung wiederkehrender Ruhestörungen. Führen Sie das Protokoll über mindestens 14 Tage.</w:t>
      </w:r>
    </w:p>
    <w:p>
      <w:pPr>
        <w:pStyle w:val="BodyText"/>
        <w:bidi w:val="0"/>
        <w:spacing w:before="0" w:after="198"/>
        <w:ind w:hanging="0" w:left="0" w:right="0"/>
        <w:jc w:val="left"/>
        <w:rPr>
          <w:b/>
          <w:sz w:val="18"/>
        </w:rPr>
      </w:pPr>
      <w:r>
        <w:rPr>
          <w:b/>
          <w:sz w:val="18"/>
        </w:rPr>
        <w:t>Name</w:t>
      </w:r>
      <w:r>
        <w:rPr>
          <w:b/>
          <w:color w:val="7C7365"/>
          <w:sz w:val="18"/>
        </w:rPr>
        <w:t xml:space="preserve"> </w:t>
      </w:r>
      <w:r>
        <w:rPr>
          <w:b w:val="false"/>
          <w:color w:val="7C7365"/>
          <w:sz w:val="18"/>
        </w:rPr>
        <w:t>der protokollführenden Person</w:t>
      </w:r>
    </w:p>
    <w:p>
      <w:pPr>
        <w:pStyle w:val="BodyText"/>
        <w:bidi w:val="0"/>
        <w:spacing w:before="0" w:after="198"/>
        <w:ind w:hanging="0" w:left="0" w:right="0"/>
        <w:jc w:val="left"/>
        <w:rPr>
          <w:b/>
          <w:sz w:val="18"/>
        </w:rPr>
      </w:pPr>
      <w:r>
        <w:rPr>
          <w:b/>
          <w:sz w:val="18"/>
        </w:rPr>
        <w:t>Anschrift</w:t>
      </w:r>
      <w:r>
        <w:rPr>
          <w:b/>
          <w:color w:val="7C7365"/>
          <w:sz w:val="18"/>
        </w:rPr>
        <w:t xml:space="preserve"> </w:t>
      </w:r>
      <w:r>
        <w:rPr>
          <w:b w:val="false"/>
          <w:color w:val="7C7365"/>
          <w:sz w:val="18"/>
        </w:rPr>
        <w:t>und Wohnung</w:t>
      </w:r>
    </w:p>
    <w:p>
      <w:pPr>
        <w:pStyle w:val="BodyText"/>
        <w:bidi w:val="0"/>
        <w:spacing w:before="0" w:after="198"/>
        <w:ind w:hanging="0" w:left="0" w:right="0"/>
        <w:jc w:val="left"/>
        <w:rPr>
          <w:b/>
          <w:sz w:val="18"/>
        </w:rPr>
      </w:pPr>
      <w:r>
        <w:rPr>
          <w:b/>
          <w:sz w:val="18"/>
        </w:rPr>
        <w:t>Zeitraum</w:t>
      </w:r>
      <w:r>
        <w:rPr>
          <w:b/>
          <w:color w:val="7C7365"/>
          <w:sz w:val="18"/>
        </w:rPr>
        <w:t xml:space="preserve"> </w:t>
      </w:r>
      <w:r>
        <w:rPr>
          <w:b w:val="false"/>
          <w:color w:val="7C7365"/>
          <w:sz w:val="18"/>
        </w:rPr>
        <w:t>von – bis</w:t>
      </w:r>
    </w:p>
    <w:tbl>
      <w:tblPr>
        <w:tblW w:w="4896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631"/>
        <w:gridCol w:w="661"/>
        <w:gridCol w:w="496"/>
        <w:gridCol w:w="1306"/>
        <w:gridCol w:w="1066"/>
        <w:gridCol w:w="736"/>
      </w:tblGrid>
      <w:tr>
        <w:trPr>
          <w:tblHeader w:val="true"/>
        </w:trPr>
        <w:tc>
          <w:tcPr>
            <w:tcW w:w="631" w:type="dxa"/>
            <w:tcBorders/>
            <w:vAlign w:val="center"/>
          </w:tcPr>
          <w:p>
            <w:pPr>
              <w:pStyle w:val="TableHeading"/>
              <w:bidi w:val="0"/>
              <w:ind w:hanging="0" w:left="0" w:right="0"/>
              <w:jc w:val="left"/>
              <w:rPr/>
            </w:pPr>
            <w:r>
              <w:rPr/>
              <w:t>Datum</w:t>
            </w:r>
          </w:p>
        </w:tc>
        <w:tc>
          <w:tcPr>
            <w:tcW w:w="661" w:type="dxa"/>
            <w:tcBorders/>
            <w:vAlign w:val="center"/>
          </w:tcPr>
          <w:p>
            <w:pPr>
              <w:pStyle w:val="TableHeading"/>
              <w:bidi w:val="0"/>
              <w:ind w:hanging="0" w:left="0" w:right="0"/>
              <w:jc w:val="left"/>
              <w:rPr/>
            </w:pPr>
            <w:r>
              <w:rPr/>
              <w:t>Beginn</w:t>
            </w:r>
          </w:p>
        </w:tc>
        <w:tc>
          <w:tcPr>
            <w:tcW w:w="496" w:type="dxa"/>
            <w:tcBorders/>
            <w:vAlign w:val="center"/>
          </w:tcPr>
          <w:p>
            <w:pPr>
              <w:pStyle w:val="TableHeading"/>
              <w:bidi w:val="0"/>
              <w:ind w:hanging="0" w:left="0" w:right="0"/>
              <w:jc w:val="left"/>
              <w:rPr/>
            </w:pPr>
            <w:r>
              <w:rPr/>
              <w:t>Ende</w:t>
            </w:r>
          </w:p>
        </w:tc>
        <w:tc>
          <w:tcPr>
            <w:tcW w:w="1306" w:type="dxa"/>
            <w:tcBorders/>
            <w:vAlign w:val="center"/>
          </w:tcPr>
          <w:p>
            <w:pPr>
              <w:pStyle w:val="TableHeading"/>
              <w:bidi w:val="0"/>
              <w:ind w:hanging="0" w:left="0" w:right="0"/>
              <w:jc w:val="left"/>
              <w:rPr/>
            </w:pPr>
            <w:r>
              <w:rPr/>
              <w:t>Art der Störung</w:t>
            </w:r>
          </w:p>
        </w:tc>
        <w:tc>
          <w:tcPr>
            <w:tcW w:w="1066" w:type="dxa"/>
            <w:tcBorders/>
            <w:vAlign w:val="center"/>
          </w:tcPr>
          <w:p>
            <w:pPr>
              <w:pStyle w:val="TableHeading"/>
              <w:bidi w:val="0"/>
              <w:ind w:hanging="0" w:left="0" w:right="0"/>
              <w:jc w:val="left"/>
              <w:rPr/>
            </w:pPr>
            <w:r>
              <w:rPr/>
              <w:t>Verursacher</w:t>
            </w:r>
          </w:p>
        </w:tc>
        <w:tc>
          <w:tcPr>
            <w:tcW w:w="736" w:type="dxa"/>
            <w:tcBorders/>
            <w:vAlign w:val="center"/>
          </w:tcPr>
          <w:p>
            <w:pPr>
              <w:pStyle w:val="TableHeading"/>
              <w:suppressLineNumbers/>
              <w:shd w:fill="F0D6AE" w:val="clear"/>
              <w:bidi w:val="0"/>
              <w:jc w:val="left"/>
              <w:rPr/>
            </w:pPr>
            <w:r>
              <w:rPr/>
              <w:t>Zeugen</w:t>
            </w:r>
          </w:p>
        </w:tc>
      </w:tr>
      <w:tr>
        <w:trPr/>
        <w:tc>
          <w:tcPr>
            <w:tcW w:w="631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661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96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306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066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36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31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661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96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306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066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36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31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661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96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306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066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36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31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661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96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306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066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36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31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661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96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306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066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36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31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661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96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306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066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36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31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661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96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306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066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36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31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661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96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306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066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36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31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661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96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306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066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36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31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661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96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306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066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36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31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661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96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306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066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36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31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661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96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306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066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36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31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661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96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306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066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36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31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661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96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306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066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36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p>
      <w:pPr>
        <w:pStyle w:val="BodyTextnote"/>
        <w:bidi w:val="0"/>
        <w:spacing w:before="283" w:after="140"/>
        <w:jc w:val="left"/>
        <w:rPr/>
      </w:pPr>
      <w:r>
        <w:rPr>
          <w:b/>
        </w:rPr>
        <w:t>So wird der Eintrag verwertbar.</w:t>
      </w:r>
      <w:r>
        <w:rPr/>
        <w:t xml:space="preserve"> Notieren Sie Beginn und Ende, nicht nur „abends“. Beschreiben Sie die Störung sachlich — Bewertungen wie „unerträglich“ schwächen das Protokoll. Tragen Sie Zeugen mit Name und Anschrift ein, soweit vorhanden.</w:t>
        <w:br/>
      </w:r>
      <w:r>
        <w:rPr>
          <w:b/>
        </w:rPr>
        <w:t>Rechtsgrundlage.</w:t>
      </w:r>
      <w:r>
        <w:rPr/>
        <w:t xml:space="preserve"> Die Nachtruhe gilt in allen 16 Bundesländern, in der Regel von 22:00 bis 6:00 Uhr, an Sonn- und Feiertagen ganztägig; maßgeblich sind die Landes-Immissionsschutzgesetze und kommunale Satzungen. Unzulässiger Lärm ist nach OWiG § 117 eine Ordnungswidrigkeit. Kinderlärm gilt nach BImSchG § 22 Abs. 1a in der Regel nicht als schädliche Umwelteinwirkung.</w:t>
        <w:br/>
      </w:r>
      <w:r>
        <w:rPr>
          <w:b/>
        </w:rPr>
        <w:t>Hinweis.</w:t>
      </w:r>
      <w:r>
        <w:rPr/>
        <w:t xml:space="preserve"> Informativer Inhalt; keine Rechtsberatung im Einzelfall. musterbriefzentrale.com </w:t>
      </w:r>
    </w:p>
    <w:sectPr>
      <w:type w:val="nextPage"/>
      <w:pgSz w:w="11906" w:h="16838"/>
      <w:pgMar w:left="794" w:right="794" w:gutter="0" w:header="0" w:top="907" w:footer="0" w:bottom="79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ans;Arial;sans-serif" w:hAnsi="Liberation Sans;Arial;sans-serif" w:eastAsia="Liberation Sans;Arial;sans-serif" w:cs="Liberation Sans;Arial;sans-serif"/>
      <w:color w:val="232B31"/>
      <w:sz w:val="20"/>
      <w:szCs w:val="20"/>
      <w:lang w:val="en-US" w:eastAsia="zh-CN" w:bidi="hi-IN"/>
    </w:rPr>
  </w:style>
  <w:style w:type="paragraph" w:styleId="Heading1">
    <w:name w:val="Heading 1"/>
    <w:basedOn w:val="Heading"/>
    <w:next w:val="BodyText"/>
    <w:qFormat/>
    <w:pPr>
      <w:spacing w:before="240" w:after="113"/>
      <w:outlineLvl w:val="0"/>
    </w:pPr>
    <w:rPr>
      <w:rFonts w:ascii="Liberation Serif" w:hAnsi="Liberation Serif" w:eastAsia="Noto Serif CJK SC" w:cs="Noto Sans Devanagari"/>
      <w:b/>
      <w:bCs/>
      <w:color w:val="7A4A12"/>
      <w:sz w:val="34"/>
      <w:szCs w:val="34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BodyTextsub">
    <w:name w:val="Body Text.sub"/>
    <w:basedOn w:val="BodyText"/>
    <w:qFormat/>
    <w:pPr>
      <w:spacing w:before="0" w:after="340"/>
    </w:pPr>
    <w:rPr>
      <w:color w:val="4B443A"/>
      <w:sz w:val="18"/>
      <w:szCs w:val="18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shd w:fill="F0D6AE" w:val="clear"/>
      <w:jc w:val="left"/>
    </w:pPr>
    <w:rPr>
      <w:b/>
      <w:bCs/>
      <w:sz w:val="17"/>
      <w:szCs w:val="17"/>
    </w:rPr>
  </w:style>
  <w:style w:type="paragraph" w:styleId="BodyTextnote">
    <w:name w:val="Body Text.note"/>
    <w:basedOn w:val="BodyText"/>
    <w:qFormat/>
    <w:pPr>
      <w:spacing w:lineRule="auto" w:line="348" w:before="283" w:after="140"/>
    </w:pPr>
    <w:rPr>
      <w:color w:val="4B443A"/>
      <w:sz w:val="16"/>
      <w:szCs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MusterbriefZentrale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MusterbriefZentrale</dc:creator>
  <dc:description/>
  <dc:language>de-DE</dc:language>
  <cp:lastModifiedBy>MusterbriefZentrale</cp:lastModifiedBy>
  <cp:revision>0</cp:revision>
  <dc:subject/>
  <dc:title>Lärmprotokoll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